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lkb8ldodtgqo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Polityka Prywatności serwisu Rycerska4.pl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Obowiązuje od: 24.09.2025 r.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Wersja: 1.0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s84u9h6ughyp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1. Administrator danych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480" w:lineRule="auto"/>
        <w:ind w:left="720" w:hanging="360"/>
        <w:rPr>
          <w:b w:val="1"/>
          <w:sz w:val="46"/>
          <w:szCs w:val="46"/>
        </w:rPr>
      </w:pPr>
      <w:bookmarkStart w:colFirst="0" w:colLast="0" w:name="_ncal2al3ql30" w:id="2"/>
      <w:bookmarkEnd w:id="2"/>
      <w:r w:rsidDel="00000000" w:rsidR="00000000" w:rsidRPr="00000000">
        <w:rPr>
          <w:b w:val="1"/>
          <w:sz w:val="46"/>
          <w:szCs w:val="46"/>
          <w:rtl w:val="0"/>
        </w:rPr>
        <w:t xml:space="preserve">Polityka Prywatności serwisu Rycerska4.pl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Obowiązuje od: 24.09.2025 r.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Wersja: 1.0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ind w:left="720" w:hanging="360"/>
        <w:rPr>
          <w:b w:val="1"/>
          <w:sz w:val="34"/>
          <w:szCs w:val="34"/>
        </w:rPr>
      </w:pPr>
      <w:bookmarkStart w:colFirst="0" w:colLast="0" w:name="_5zp9l28osq8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1. Administrator danych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35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Administratorem danych osobowych zbieranych od Pacjentów/Klientów Smile - Clinic i Centrum Medycznego Rycerska 4 jest Rycerska4.pl spółka z ograniczoną odpowiedzialnością zarejestrowaną w Krajowym Rejestrze Sądowym pod nr 0001083588, posiadającą numery NIP: 6263059270, REGON: 527540820; posiadająca adres miejsca wykonywania działalności: ul. Rycerska 4, 41-902 Bytom, adres poczty elektronicznej </w:t>
      </w:r>
      <w:hyperlink r:id="rId6">
        <w:r w:rsidDel="00000000" w:rsidR="00000000" w:rsidRPr="00000000">
          <w:rPr>
            <w:rFonts w:ascii="Calibri" w:cs="Calibri" w:eastAsia="Calibri" w:hAnsi="Calibri"/>
            <w:color w:val="0563c1"/>
            <w:sz w:val="24"/>
            <w:szCs w:val="24"/>
            <w:u w:val="single"/>
            <w:rtl w:val="0"/>
          </w:rPr>
          <w:t xml:space="preserve">ado@rycerska4.pl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zwana dalej Administratorem).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Dane osobowe w Smile – Clinic i Centrum Medycznym Rycerska 4 przetwarzane są z poszanowaniem obowiązujących w tym zakresie przepisów prawa (w szczególności zgodnie z rozporządzeniem Parlamentu Europejskiego i Rady (UE) 2016/679 z dnia 27 kwietnia 2016 r. w sprawie ochrony osób fizycznych w związku z przetwarzaniem danych osobowych i w sprawie swobodnego przepływu takich danych oraz uchylenia dyrektywy 95/46/WE- Rozporządzenie RODO. Oficjalny tekst Rozporządzenia RODO: </w:t>
      </w:r>
      <w:hyperlink r:id="rId7">
        <w:r w:rsidDel="00000000" w:rsidR="00000000" w:rsidRPr="00000000">
          <w:rPr>
            <w:rFonts w:ascii="Calibri" w:cs="Calibri" w:eastAsia="Calibri" w:hAnsi="Calibri"/>
            <w:color w:val="0563c1"/>
            <w:sz w:val="24"/>
            <w:szCs w:val="24"/>
            <w:u w:val="single"/>
            <w:rtl w:val="0"/>
          </w:rPr>
          <w:t xml:space="preserve">http://eur-lex.europa.eu/legal-content/PL/TXT/?uri=CELEX%3A32016R0679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 w szczególności przy zastosowaniu odpowiednich środków organizacyjnych i technicznych służących ich zabezpieczeniu.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Centrum Medyczne Rycerska 4 przetwarza dane osobowe Pacjenta/Klienta przede wszystkim w celu wykonania umowy na Usługi oraz do komunikacji. Za zgodą wyrażoną przez Pacjenta/Klienta, Centrum Medyczne Rycerska 4 może przetwarzać dane osobowe w celu wskazanym w treści zgody.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45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Przed zebraniem danych osobowych, jak również przed odebraniem zgody na ich przetwarzanie, Centrum Medyczne Rycerska 4 podaje wszystkie wymagane prawem informacje i wskazuje: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line="259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swoją tożsamość i dane kontaktowe,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line="259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dane kontaktowe Administratora danych osobowych,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line="233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cele przetwarzania danych osobowych oraz podstawę prawną przetwarzania, w tym prawnie uzasadnione interesy realizowane przez Administratora,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line="259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informacje o odbiorcach danych,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line="259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okres, przez który dane osobowe będą przechowywane,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line="245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informacje o prawie do żądania od Administratora dostępu do danych osobowych, ich sprostowania, usunięcia lub ograniczenia przetwarzania,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informacje o prawie do wniesienia sprzeciwu wobec przetwarzania, przenoszenia danych, cofnięcia udzielonej zgody w dowolnym momencie, wniesienia skargi do organu nadzorczego,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informacje czy podanie danych osobowych jest wymogiem ustawowym lub umownym lub warunkiem zawarcia umowy oraz czy osoba, której dane dotyczą jest zobowiązana do ich podania i jakie są ewentualne konsekwencje niepodania danych,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line="259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informacje o zautomatyzowanym podejmowaniu decyzji, w tym o profilowaniu.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Informacje, o których mowa w pkt 4 powyżej, Centrum Medyczne Rycerska 4 przedstawia Pacjentowi/Klientowi na piśmie i/lub za pośrednictwem poczty elektronicznej. Informacje na temat przetwarzania danych osobowych podawanych podczas kontaktu telefonicznego, za pośrednictwem poczty elektronicznej i/lub formularza kontaktowego na stronie internetowej Centrum Medyczne Rycerska 4, dostępne są pod adresami: </w:t>
      </w:r>
      <w:hyperlink r:id="rId8">
        <w:r w:rsidDel="00000000" w:rsidR="00000000" w:rsidRPr="00000000">
          <w:rPr>
            <w:rFonts w:ascii="Calibri" w:cs="Calibri" w:eastAsia="Calibri" w:hAnsi="Calibri"/>
            <w:color w:val="0563c1"/>
            <w:sz w:val="24"/>
            <w:szCs w:val="24"/>
            <w:u w:val="single"/>
            <w:rtl w:val="0"/>
          </w:rPr>
          <w:t xml:space="preserve">www.rycerska4.pl/kontakt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 </w:t>
      </w:r>
      <w:hyperlink r:id="rId9">
        <w:r w:rsidDel="00000000" w:rsidR="00000000" w:rsidRPr="00000000">
          <w:rPr>
            <w:rFonts w:ascii="Calibri" w:cs="Calibri" w:eastAsia="Calibri" w:hAnsi="Calibri"/>
            <w:color w:val="0563c1"/>
            <w:sz w:val="24"/>
            <w:szCs w:val="24"/>
            <w:u w:val="single"/>
            <w:rtl w:val="0"/>
          </w:rPr>
          <w:t xml:space="preserve">www.smile-clinic.pl/kontakt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Centrum Medyczne Rycerska 4 przetwarza dane osobowe jedynie w celach, dla których zostały zebrane.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ind w:left="720" w:hanging="360"/>
        <w:rPr>
          <w:b w:val="1"/>
          <w:sz w:val="34"/>
          <w:szCs w:val="34"/>
        </w:rPr>
      </w:pPr>
      <w:bookmarkStart w:colFirst="0" w:colLast="0" w:name="_4hpew09nwn2i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2. Zakres stosowania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Polityka dotyczy osób fizycznych:</w:t>
      </w:r>
    </w:p>
    <w:p w:rsidR="00000000" w:rsidDel="00000000" w:rsidP="00000000" w:rsidRDefault="00000000" w:rsidRPr="00000000" w14:paraId="0000001B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odwiedzających stronę rycerska4.pl,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dokonujących rezerwacji przez system Felg Dent,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wypełniających formularze kontaktowe,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zapisujących się na komunikację marketingową,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kontaktujących się z nami drogą mailową lub telefonicznie.</w:t>
        <w:br w:type="textWrapping"/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ind w:left="720" w:hanging="360"/>
        <w:rPr>
          <w:b w:val="1"/>
          <w:sz w:val="34"/>
          <w:szCs w:val="34"/>
        </w:rPr>
      </w:pPr>
      <w:bookmarkStart w:colFirst="0" w:colLast="0" w:name="_4s06u38q1s9p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3. Kategorie danych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 zależności od sytuacji przetwarzamy m.in.:</w:t>
      </w:r>
    </w:p>
    <w:p w:rsidR="00000000" w:rsidDel="00000000" w:rsidP="00000000" w:rsidRDefault="00000000" w:rsidRPr="00000000" w14:paraId="00000022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dane identyfikacyjne i kontaktowe (imię, nazwisko, e-mail, telefon),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dane związane z rezerwacją wizyty (data, usługa, uwagi, dane do faktury),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treści przekazane w formularzach kontaktowych,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dane techniczne i analityczne (cookies, adres IP, rodzaj urządzenia, źródło ruchu),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preferencje marketingowe (np. zgoda na newsletter lub reklamy).</w:t>
        <w:br w:type="textWrapping"/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Szczegółowe informacje o zakresie i sposobie przetwarzania danych znajdują się w politykach prywatności naszych partnerów technologicznych (zob. sekcja 7).</w:t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ind w:left="720" w:hanging="360"/>
        <w:rPr>
          <w:b w:val="1"/>
          <w:sz w:val="34"/>
          <w:szCs w:val="34"/>
        </w:rPr>
      </w:pPr>
      <w:bookmarkStart w:colFirst="0" w:colLast="0" w:name="_pq03unsrnug9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4. Cele i podstawy prawne przetwarzania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Dane przetwarzamy w następujących celach: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Rezerwacje i świadczenie usług</w:t>
      </w:r>
      <w:r w:rsidDel="00000000" w:rsidR="00000000" w:rsidRPr="00000000">
        <w:rPr>
          <w:rtl w:val="0"/>
        </w:rPr>
        <w:t xml:space="preserve"> – art. 6 ust. 1 lit. b RODO (umowa),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Komunikacja i formularze kontaktowe</w:t>
      </w:r>
      <w:r w:rsidDel="00000000" w:rsidR="00000000" w:rsidRPr="00000000">
        <w:rPr>
          <w:rtl w:val="0"/>
        </w:rPr>
        <w:t xml:space="preserve"> – art. 6 ust. 1 lit. f RODO (uzasadniony interes),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Rozliczenia i księgowość</w:t>
      </w:r>
      <w:r w:rsidDel="00000000" w:rsidR="00000000" w:rsidRPr="00000000">
        <w:rPr>
          <w:rtl w:val="0"/>
        </w:rPr>
        <w:t xml:space="preserve"> – art. 6 ust. 1 lit. c RODO (obowiązek prawny),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Analiza i statystyki (Google Analytics 4)</w:t>
      </w:r>
      <w:r w:rsidDel="00000000" w:rsidR="00000000" w:rsidRPr="00000000">
        <w:rPr>
          <w:rtl w:val="0"/>
        </w:rPr>
        <w:t xml:space="preserve"> – art. 6 ust. 1 lit. a RODO (zgoda),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Marketing i reklama (Google Ads, Meta Pixel)</w:t>
      </w:r>
      <w:r w:rsidDel="00000000" w:rsidR="00000000" w:rsidRPr="00000000">
        <w:rPr>
          <w:rtl w:val="0"/>
        </w:rPr>
        <w:t xml:space="preserve"> – art. 6 ust. 1 lit. a RODO (zgoda),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Bezpieczeństwo i roszczenia</w:t>
      </w:r>
      <w:r w:rsidDel="00000000" w:rsidR="00000000" w:rsidRPr="00000000">
        <w:rPr>
          <w:rtl w:val="0"/>
        </w:rPr>
        <w:t xml:space="preserve"> – art. 6 ust. 1 lit. f RODO (uzasadniony interes).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Okres przechowywania</w:t>
      </w:r>
    </w:p>
    <w:p w:rsidR="00000000" w:rsidDel="00000000" w:rsidP="00000000" w:rsidRDefault="00000000" w:rsidRPr="00000000" w14:paraId="00000031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dane rezerwacyjne – czas świadczenia usługi + do 6 lat,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dokumenty księgowe – 5 lat od końca roku podatkowego,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korespondencja – do 12 miesięcy od zakończenia sprawy,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dane marketingowe – do wycofania zgody,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dane analityczne – zgodnie z ustawieniami narzędzi (np. GA4: 14–26 miesięcy),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logi serwera – zwykle 30–90 dni.</w:t>
        <w:br w:type="textWrapping"/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ind w:left="720" w:hanging="360"/>
        <w:rPr>
          <w:b w:val="1"/>
          <w:sz w:val="34"/>
          <w:szCs w:val="34"/>
        </w:rPr>
      </w:pPr>
      <w:bookmarkStart w:colFirst="0" w:colLast="0" w:name="_6apfzacly9qf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6. Cookies i podobne technologie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Stosujemy pliki cookies i podobne technologie (np. local storage, piksele).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Kategorie:</w:t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Niezbędne (techniczne) – zapewniają prawidłowe działanie strony,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Analityczne/statystyczne – GA4 przez GTM,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Marketingowe i reklamowe – m.in. Google Ads, Meta Pixel.</w:t>
        <w:br w:type="textWrapping"/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Zgoda na cookies innych niż niezbędne jest uzyskiwana poprzez baner CookieYes (CMP). Preferencje można zmieniać w każdej chwili w stopce serwisu („Ustawienia cookies”).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Odbiorcy danych i linki do polityk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Dane mogą być powierzane podmiotom świadczącym nam usługi IT, hostingowe i marketingowe. Kluczowi partnerzy: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home.pl (Polska)</w:t>
      </w:r>
      <w:r w:rsidDel="00000000" w:rsidR="00000000" w:rsidRPr="00000000">
        <w:rPr>
          <w:rtl w:val="0"/>
        </w:rPr>
        <w:t xml:space="preserve"> – hosting i poczta,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 Polityka home.pl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Felg Dent – FELG Software Sp. z o.o. (Polska)</w:t>
      </w:r>
      <w:r w:rsidDel="00000000" w:rsidR="00000000" w:rsidRPr="00000000">
        <w:rPr>
          <w:rtl w:val="0"/>
        </w:rPr>
        <w:t xml:space="preserve"> – system rezerwacyjny,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 Polityka Felg Dent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Google Ireland Ltd. / Google LLC</w:t>
      </w:r>
      <w:r w:rsidDel="00000000" w:rsidR="00000000" w:rsidRPr="00000000">
        <w:rPr>
          <w:rtl w:val="0"/>
        </w:rPr>
        <w:t xml:space="preserve"> – GA4, GTM, Google Ads,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 Polityka Google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Meta Platforms Ireland Ltd. / Meta Platforms, Inc. (USA)</w:t>
      </w:r>
      <w:r w:rsidDel="00000000" w:rsidR="00000000" w:rsidRPr="00000000">
        <w:rPr>
          <w:rtl w:val="0"/>
        </w:rPr>
        <w:t xml:space="preserve"> – Meta Pixel,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 Polityka Meta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CookieYes Ltd.</w:t>
      </w:r>
      <w:r w:rsidDel="00000000" w:rsidR="00000000" w:rsidRPr="00000000">
        <w:rPr>
          <w:rtl w:val="0"/>
        </w:rPr>
        <w:t xml:space="preserve"> – CMP (zarządzanie zgodami),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 Polityka CookieYes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Przekazywanie danych poza EOG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Korzystając z narzędzi takich jak Google czy Meta, dane mogą być przekazywane do państw trzecich (np. USA). W takich przypadkach stosowane są zabezpieczenia zgodne z RODO, w szczególności </w:t>
      </w:r>
      <w:r w:rsidDel="00000000" w:rsidR="00000000" w:rsidRPr="00000000">
        <w:rPr>
          <w:b w:val="1"/>
          <w:rtl w:val="0"/>
        </w:rPr>
        <w:t xml:space="preserve">standardowe klauzule umowne (SCC)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ind w:left="720" w:hanging="360"/>
        <w:rPr>
          <w:b w:val="1"/>
          <w:sz w:val="34"/>
          <w:szCs w:val="34"/>
        </w:rPr>
      </w:pPr>
      <w:bookmarkStart w:colFirst="0" w:colLast="0" w:name="_djkagb4q5nmg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9. Prawa użytkownika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Masz prawo do:</w:t>
      </w:r>
    </w:p>
    <w:p w:rsidR="00000000" w:rsidDel="00000000" w:rsidP="00000000" w:rsidRDefault="00000000" w:rsidRPr="00000000" w14:paraId="00000049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dostępu do danych,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sprostowania, usunięcia lub ograniczenia przetwarzania,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przenoszenia danych,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sprzeciwu wobec przetwarzania,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wycofania zgody w dowolnym momencie,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wniesienia skargi do Prezesa UODO (www.uodo.gov.pl).</w:t>
        <w:br w:type="textWrapping"/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pacing w:after="80" w:lineRule="auto"/>
        <w:ind w:left="720" w:hanging="360"/>
        <w:rPr>
          <w:b w:val="1"/>
          <w:sz w:val="34"/>
          <w:szCs w:val="34"/>
        </w:rPr>
      </w:pPr>
      <w:bookmarkStart w:colFirst="0" w:colLast="0" w:name="_d8hxlkmyjob1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10. Bezpieczeństwo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Stosujemy odpowiednie środki techniczne i organizacyjne, m.in.: szyfrowanie SSL/TLS, kontrolę dostępu, kopie zapasowe, aktualizacje systemów i monitoring bezpieczeństwa.</w:t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pacing w:after="80" w:lineRule="auto"/>
        <w:ind w:left="720" w:hanging="360"/>
        <w:rPr>
          <w:b w:val="1"/>
          <w:sz w:val="34"/>
          <w:szCs w:val="34"/>
        </w:rPr>
      </w:pPr>
      <w:bookmarkStart w:colFirst="0" w:colLast="0" w:name="_kl7nvoj37wbg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11. Zmiany Polityki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Polityka może być aktualizowana wraz ze zmianą technologii, prawa lub usług. Data wejścia w życie widoczna jest w nagłówku dokumentu.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4">
      <w:pPr>
        <w:numPr>
          <w:ilvl w:val="0"/>
          <w:numId w:val="18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4uqn0pxvm7" w:id="11"/>
      <w:bookmarkEnd w:id="11"/>
      <w:r w:rsidDel="00000000" w:rsidR="00000000" w:rsidRPr="00000000">
        <w:rPr>
          <w:b w:val="1"/>
          <w:sz w:val="34"/>
          <w:szCs w:val="34"/>
          <w:rtl w:val="0"/>
        </w:rPr>
        <w:t xml:space="preserve">2. Zakres stosowania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Polityka dotyczy osób fizycznych:</w:t>
      </w:r>
    </w:p>
    <w:p w:rsidR="00000000" w:rsidDel="00000000" w:rsidP="00000000" w:rsidRDefault="00000000" w:rsidRPr="00000000" w14:paraId="00000057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odwiedzających stronę rycerska4.pl,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dokonujących rezerwacji przez system Felg Dent,</w:t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wypełniających formularze kontaktowe,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zapisujących się na komunikację marketingową,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kontaktujących się z nami drogą mailową lub telefonicznie.</w:t>
        <w:br w:type="textWrapping"/>
      </w:r>
    </w:p>
    <w:p w:rsidR="00000000" w:rsidDel="00000000" w:rsidP="00000000" w:rsidRDefault="00000000" w:rsidRPr="00000000" w14:paraId="0000005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s3808bgd67n" w:id="12"/>
      <w:bookmarkEnd w:id="12"/>
      <w:r w:rsidDel="00000000" w:rsidR="00000000" w:rsidRPr="00000000">
        <w:rPr>
          <w:b w:val="1"/>
          <w:sz w:val="34"/>
          <w:szCs w:val="34"/>
          <w:rtl w:val="0"/>
        </w:rPr>
        <w:t xml:space="preserve">3. Kategorie danych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 zależności od sytuacji przetwarzamy m.in.:</w:t>
      </w:r>
    </w:p>
    <w:p w:rsidR="00000000" w:rsidDel="00000000" w:rsidP="00000000" w:rsidRDefault="00000000" w:rsidRPr="00000000" w14:paraId="0000005E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dane identyfikacyjne i kontaktowe (imię, nazwisko, e-mail, telefon),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dane związane z rezerwacją wizyty (data, usługa, uwagi, dane do faktury),</w:t>
        <w:br w:type="textWrapping"/>
      </w:r>
    </w:p>
    <w:p w:rsidR="00000000" w:rsidDel="00000000" w:rsidP="00000000" w:rsidRDefault="00000000" w:rsidRPr="00000000" w14:paraId="00000060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treści przekazane w formularzach kontaktowych,</w:t>
        <w:br w:type="textWrapping"/>
      </w:r>
    </w:p>
    <w:p w:rsidR="00000000" w:rsidDel="00000000" w:rsidP="00000000" w:rsidRDefault="00000000" w:rsidRPr="00000000" w14:paraId="00000061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dane techniczne i analityczne (cookies, adres IP, rodzaj urządzenia, źródło ruchu),</w:t>
        <w:br w:type="textWrapping"/>
      </w:r>
    </w:p>
    <w:p w:rsidR="00000000" w:rsidDel="00000000" w:rsidP="00000000" w:rsidRDefault="00000000" w:rsidRPr="00000000" w14:paraId="00000062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preferencje marketingowe (np. zgoda na newsletter lub reklamy).</w:t>
        <w:br w:type="textWrapping"/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Szczegółowe informacje o zakresie i sposobie przetwarzania danych znajdują się w politykach prywatności naszych partnerów technologicznych (zob. sekcja 7).</w:t>
      </w:r>
    </w:p>
    <w:p w:rsidR="00000000" w:rsidDel="00000000" w:rsidP="00000000" w:rsidRDefault="00000000" w:rsidRPr="00000000" w14:paraId="0000006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8dlf0k5cguaq" w:id="13"/>
      <w:bookmarkEnd w:id="13"/>
      <w:r w:rsidDel="00000000" w:rsidR="00000000" w:rsidRPr="00000000">
        <w:rPr>
          <w:b w:val="1"/>
          <w:sz w:val="34"/>
          <w:szCs w:val="34"/>
          <w:rtl w:val="0"/>
        </w:rPr>
        <w:t xml:space="preserve">4. Cele i podstawy prawne przetwarzania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Dane przetwarzamy w następujących celach: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Rezerwacje i świadczenie usług</w:t>
      </w:r>
      <w:r w:rsidDel="00000000" w:rsidR="00000000" w:rsidRPr="00000000">
        <w:rPr>
          <w:rtl w:val="0"/>
        </w:rPr>
        <w:t xml:space="preserve"> – art. 6 ust. 1 lit. b RODO (umowa),</w:t>
        <w:br w:type="textWrapping"/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Komunikacja i formularze kontaktowe</w:t>
      </w:r>
      <w:r w:rsidDel="00000000" w:rsidR="00000000" w:rsidRPr="00000000">
        <w:rPr>
          <w:rtl w:val="0"/>
        </w:rPr>
        <w:t xml:space="preserve"> – art. 6 ust. 1 lit. f RODO (uzasadniony interes),</w:t>
        <w:br w:type="textWrapping"/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Rozliczenia i księgowość</w:t>
      </w:r>
      <w:r w:rsidDel="00000000" w:rsidR="00000000" w:rsidRPr="00000000">
        <w:rPr>
          <w:rtl w:val="0"/>
        </w:rPr>
        <w:t xml:space="preserve"> – art. 6 ust. 1 lit. c RODO (obowiązek prawny),</w:t>
        <w:br w:type="textWrapping"/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Analiza i statystyki (Google Analytics 4)</w:t>
      </w:r>
      <w:r w:rsidDel="00000000" w:rsidR="00000000" w:rsidRPr="00000000">
        <w:rPr>
          <w:rtl w:val="0"/>
        </w:rPr>
        <w:t xml:space="preserve"> – art. 6 ust. 1 lit. a RODO (zgoda),</w:t>
        <w:br w:type="textWrapping"/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Marketing i reklama (Google Ads, Meta Pixel)</w:t>
      </w:r>
      <w:r w:rsidDel="00000000" w:rsidR="00000000" w:rsidRPr="00000000">
        <w:rPr>
          <w:rtl w:val="0"/>
        </w:rPr>
        <w:t xml:space="preserve"> – art. 6 ust. 1 lit. a RODO (zgoda),</w:t>
        <w:br w:type="textWrapping"/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Bezpieczeństwo i roszczenia</w:t>
      </w:r>
      <w:r w:rsidDel="00000000" w:rsidR="00000000" w:rsidRPr="00000000">
        <w:rPr>
          <w:rtl w:val="0"/>
        </w:rPr>
        <w:t xml:space="preserve"> – art. 6 ust. 1 lit. f RODO (uzasadniony interes).</w:t>
        <w:br w:type="textWrapping"/>
      </w:r>
    </w:p>
    <w:p w:rsidR="00000000" w:rsidDel="00000000" w:rsidP="00000000" w:rsidRDefault="00000000" w:rsidRPr="00000000" w14:paraId="0000006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Okres przechowywania</w:t>
      </w:r>
    </w:p>
    <w:p w:rsidR="00000000" w:rsidDel="00000000" w:rsidP="00000000" w:rsidRDefault="00000000" w:rsidRPr="00000000" w14:paraId="0000006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dane rezerwacyjne – czas świadczenia usługi + do 6 lat,</w:t>
        <w:br w:type="textWrapping"/>
      </w:r>
    </w:p>
    <w:p w:rsidR="00000000" w:rsidDel="00000000" w:rsidP="00000000" w:rsidRDefault="00000000" w:rsidRPr="00000000" w14:paraId="0000006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dokumenty księgowe – 5 lat od końca roku podatkowego,</w:t>
        <w:br w:type="textWrapping"/>
      </w:r>
    </w:p>
    <w:p w:rsidR="00000000" w:rsidDel="00000000" w:rsidP="00000000" w:rsidRDefault="00000000" w:rsidRPr="00000000" w14:paraId="0000006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korespondencja – do 12 miesięcy od zakończenia sprawy,</w:t>
        <w:br w:type="textWrapping"/>
      </w:r>
    </w:p>
    <w:p w:rsidR="00000000" w:rsidDel="00000000" w:rsidP="00000000" w:rsidRDefault="00000000" w:rsidRPr="00000000" w14:paraId="0000007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dane marketingowe – do wycofania zgody,</w:t>
        <w:br w:type="textWrapping"/>
      </w:r>
    </w:p>
    <w:p w:rsidR="00000000" w:rsidDel="00000000" w:rsidP="00000000" w:rsidRDefault="00000000" w:rsidRPr="00000000" w14:paraId="0000007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dane analityczne – zgodnie z ustawieniami narzędzi (np. GA4: 14–26 miesięcy),</w:t>
        <w:br w:type="textWrapping"/>
      </w:r>
    </w:p>
    <w:p w:rsidR="00000000" w:rsidDel="00000000" w:rsidP="00000000" w:rsidRDefault="00000000" w:rsidRPr="00000000" w14:paraId="00000072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logi serwera – zwykle 30–90 dni.</w:t>
        <w:br w:type="textWrapping"/>
      </w:r>
    </w:p>
    <w:p w:rsidR="00000000" w:rsidDel="00000000" w:rsidP="00000000" w:rsidRDefault="00000000" w:rsidRPr="00000000" w14:paraId="0000007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be79popnem" w:id="14"/>
      <w:bookmarkEnd w:id="14"/>
      <w:r w:rsidDel="00000000" w:rsidR="00000000" w:rsidRPr="00000000">
        <w:rPr>
          <w:b w:val="1"/>
          <w:sz w:val="34"/>
          <w:szCs w:val="34"/>
          <w:rtl w:val="0"/>
        </w:rPr>
        <w:t xml:space="preserve">6. Cookies i podobne technologie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Stosujemy pliki cookies i podobne technologie (np. local storage, piksele).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Kategorie:</w:t>
      </w:r>
    </w:p>
    <w:p w:rsidR="00000000" w:rsidDel="00000000" w:rsidP="00000000" w:rsidRDefault="00000000" w:rsidRPr="00000000" w14:paraId="00000076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Niezbędne (techniczne) – zapewniają prawidłowe działanie strony,</w:t>
        <w:br w:type="textWrapping"/>
      </w:r>
    </w:p>
    <w:p w:rsidR="00000000" w:rsidDel="00000000" w:rsidP="00000000" w:rsidRDefault="00000000" w:rsidRPr="00000000" w14:paraId="00000077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Analityczne/statystyczne – GA4 przez GTM,</w:t>
        <w:br w:type="textWrapping"/>
      </w:r>
    </w:p>
    <w:p w:rsidR="00000000" w:rsidDel="00000000" w:rsidP="00000000" w:rsidRDefault="00000000" w:rsidRPr="00000000" w14:paraId="00000078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Marketingowe i reklamowe – m.in. Google Ads, Meta Pixel.</w:t>
        <w:br w:type="textWrapping"/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Zgoda na cookies innych niż niezbędne jest uzyskiwana poprzez baner CookieYes (CMP). Preferencje można zmieniać w każdej chwili w stopce serwisu („Ustawienia cookies”).</w:t>
      </w:r>
    </w:p>
    <w:p w:rsidR="00000000" w:rsidDel="00000000" w:rsidP="00000000" w:rsidRDefault="00000000" w:rsidRPr="00000000" w14:paraId="0000007A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Odbiorcy danych i linki do polityk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Dane mogą być powierzane podmiotom świadczącym nam usługi IT, hostingowe i marketingowe. Kluczowi partnerzy:</w:t>
      </w:r>
    </w:p>
    <w:p w:rsidR="00000000" w:rsidDel="00000000" w:rsidP="00000000" w:rsidRDefault="00000000" w:rsidRPr="00000000" w14:paraId="0000007C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home.pl (Polska)</w:t>
      </w:r>
      <w:r w:rsidDel="00000000" w:rsidR="00000000" w:rsidRPr="00000000">
        <w:rPr>
          <w:rtl w:val="0"/>
        </w:rPr>
        <w:t xml:space="preserve"> – hosting i poczta,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 Polityka home.pl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Felg Dent – FELG Software Sp. z o.o. (Polska)</w:t>
      </w:r>
      <w:r w:rsidDel="00000000" w:rsidR="00000000" w:rsidRPr="00000000">
        <w:rPr>
          <w:rtl w:val="0"/>
        </w:rPr>
        <w:t xml:space="preserve"> – system rezerwacyjny,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 Polityka Felg Dent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Google Ireland Ltd. / Google LLC</w:t>
      </w:r>
      <w:r w:rsidDel="00000000" w:rsidR="00000000" w:rsidRPr="00000000">
        <w:rPr>
          <w:rtl w:val="0"/>
        </w:rPr>
        <w:t xml:space="preserve"> – GA4, GTM, Google Ads,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 Polityka Google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Meta Platforms Ireland Ltd. / Meta Platforms, Inc. (USA)</w:t>
      </w:r>
      <w:r w:rsidDel="00000000" w:rsidR="00000000" w:rsidRPr="00000000">
        <w:rPr>
          <w:rtl w:val="0"/>
        </w:rPr>
        <w:t xml:space="preserve"> – Meta Pixel,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 Polityka Meta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CookieYes Ltd.</w:t>
      </w:r>
      <w:r w:rsidDel="00000000" w:rsidR="00000000" w:rsidRPr="00000000">
        <w:rPr>
          <w:rtl w:val="0"/>
        </w:rPr>
        <w:t xml:space="preserve"> – CMP (zarządzanie zgodami),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 Polityka CookieYes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Przekazywanie danych poza EOG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Korzystając z narzędzi takich jak Google czy Meta, dane mogą być przekazywane do państw trzecich (np. USA). W takich przypadkach stosowane są zabezpieczenia zgodne z RODO, w szczególności </w:t>
      </w:r>
      <w:r w:rsidDel="00000000" w:rsidR="00000000" w:rsidRPr="00000000">
        <w:rPr>
          <w:b w:val="1"/>
          <w:rtl w:val="0"/>
        </w:rPr>
        <w:t xml:space="preserve">standardowe klauzule umowne (SCC)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bj7l6hg7jpsm" w:id="15"/>
      <w:bookmarkEnd w:id="15"/>
      <w:r w:rsidDel="00000000" w:rsidR="00000000" w:rsidRPr="00000000">
        <w:rPr>
          <w:b w:val="1"/>
          <w:sz w:val="34"/>
          <w:szCs w:val="34"/>
          <w:rtl w:val="0"/>
        </w:rPr>
        <w:t xml:space="preserve">9. Prawa użytkownika</w:t>
      </w:r>
    </w:p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Masz prawo do:</w:t>
      </w:r>
    </w:p>
    <w:p w:rsidR="00000000" w:rsidDel="00000000" w:rsidP="00000000" w:rsidRDefault="00000000" w:rsidRPr="00000000" w14:paraId="00000085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dostępu do danych,</w:t>
        <w:br w:type="textWrapping"/>
      </w:r>
    </w:p>
    <w:p w:rsidR="00000000" w:rsidDel="00000000" w:rsidP="00000000" w:rsidRDefault="00000000" w:rsidRPr="00000000" w14:paraId="0000008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sprostowania, usunięcia lub ograniczenia przetwarzania,</w:t>
        <w:br w:type="textWrapping"/>
      </w:r>
    </w:p>
    <w:p w:rsidR="00000000" w:rsidDel="00000000" w:rsidP="00000000" w:rsidRDefault="00000000" w:rsidRPr="00000000" w14:paraId="0000008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przenoszenia danych,</w:t>
        <w:br w:type="textWrapping"/>
      </w:r>
    </w:p>
    <w:p w:rsidR="00000000" w:rsidDel="00000000" w:rsidP="00000000" w:rsidRDefault="00000000" w:rsidRPr="00000000" w14:paraId="0000008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sprzeciwu wobec przetwarzania,</w:t>
        <w:br w:type="textWrapping"/>
      </w:r>
    </w:p>
    <w:p w:rsidR="00000000" w:rsidDel="00000000" w:rsidP="00000000" w:rsidRDefault="00000000" w:rsidRPr="00000000" w14:paraId="0000008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wycofania zgody w dowolnym momencie,</w:t>
        <w:br w:type="textWrapping"/>
      </w:r>
    </w:p>
    <w:p w:rsidR="00000000" w:rsidDel="00000000" w:rsidP="00000000" w:rsidRDefault="00000000" w:rsidRPr="00000000" w14:paraId="0000008A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wniesienia skargi do Prezesa UODO (www.uodo.gov.pl).</w:t>
        <w:br w:type="textWrapping"/>
      </w:r>
    </w:p>
    <w:p w:rsidR="00000000" w:rsidDel="00000000" w:rsidP="00000000" w:rsidRDefault="00000000" w:rsidRPr="00000000" w14:paraId="0000008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z20rddv98vi" w:id="16"/>
      <w:bookmarkEnd w:id="16"/>
      <w:r w:rsidDel="00000000" w:rsidR="00000000" w:rsidRPr="00000000">
        <w:rPr>
          <w:b w:val="1"/>
          <w:sz w:val="34"/>
          <w:szCs w:val="34"/>
          <w:rtl w:val="0"/>
        </w:rPr>
        <w:t xml:space="preserve">10. Bezpieczeństwo</w:t>
      </w:r>
    </w:p>
    <w:p w:rsidR="00000000" w:rsidDel="00000000" w:rsidP="00000000" w:rsidRDefault="00000000" w:rsidRPr="00000000" w14:paraId="0000008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Stosujemy odpowiednie środki techniczne i organizacyjne, m.in.: szyfrowanie SSL/TLS, kontrolę dostępu, kopie zapasowe, aktualizacje systemów i monitoring bezpieczeństwa.</w:t>
      </w:r>
    </w:p>
    <w:p w:rsidR="00000000" w:rsidDel="00000000" w:rsidP="00000000" w:rsidRDefault="00000000" w:rsidRPr="00000000" w14:paraId="0000008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8w6mz45h64kl" w:id="17"/>
      <w:bookmarkEnd w:id="17"/>
      <w:r w:rsidDel="00000000" w:rsidR="00000000" w:rsidRPr="00000000">
        <w:rPr>
          <w:b w:val="1"/>
          <w:sz w:val="34"/>
          <w:szCs w:val="34"/>
          <w:rtl w:val="0"/>
        </w:rPr>
        <w:t xml:space="preserve">11. Zmiany Polityki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Polityka może być aktualizowana wraz ze zmianą technologii, prawa lub usług. Data wejścia w życie widoczna jest w nagłówku dokumentu.</w:t>
      </w:r>
    </w:p>
    <w:p w:rsidR="00000000" w:rsidDel="00000000" w:rsidP="00000000" w:rsidRDefault="00000000" w:rsidRPr="00000000" w14:paraId="0000008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felgdent.com/pl/polityka-prywatnosci" TargetMode="External"/><Relationship Id="rId10" Type="http://schemas.openxmlformats.org/officeDocument/2006/relationships/hyperlink" Target="https://home.pl/regulaminy" TargetMode="External"/><Relationship Id="rId13" Type="http://schemas.openxmlformats.org/officeDocument/2006/relationships/hyperlink" Target="https://www.facebook.com/privacy/policy" TargetMode="External"/><Relationship Id="rId12" Type="http://schemas.openxmlformats.org/officeDocument/2006/relationships/hyperlink" Target="https://policies.google.com/privacy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mile-clinic.pl/kontakt" TargetMode="External"/><Relationship Id="rId15" Type="http://schemas.openxmlformats.org/officeDocument/2006/relationships/hyperlink" Target="https://home.pl/regulaminy" TargetMode="External"/><Relationship Id="rId14" Type="http://schemas.openxmlformats.org/officeDocument/2006/relationships/hyperlink" Target="https://www.cookieyes.com/privacy-policy/" TargetMode="External"/><Relationship Id="rId17" Type="http://schemas.openxmlformats.org/officeDocument/2006/relationships/hyperlink" Target="https://policies.google.com/privacy" TargetMode="External"/><Relationship Id="rId16" Type="http://schemas.openxmlformats.org/officeDocument/2006/relationships/hyperlink" Target="https://felgdent.com/pl/polityka-prywatnosci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cookieyes.com/privacy-policy/" TargetMode="External"/><Relationship Id="rId6" Type="http://schemas.openxmlformats.org/officeDocument/2006/relationships/hyperlink" Target="mailto:ado@rycerska4.pl" TargetMode="External"/><Relationship Id="rId18" Type="http://schemas.openxmlformats.org/officeDocument/2006/relationships/hyperlink" Target="https://www.facebook.com/privacy/policy" TargetMode="External"/><Relationship Id="rId7" Type="http://schemas.openxmlformats.org/officeDocument/2006/relationships/hyperlink" Target="http://eur-lex.europa.eu/legal-content/PL/TXT/?uri=CELEX%3A32016R0679" TargetMode="External"/><Relationship Id="rId8" Type="http://schemas.openxmlformats.org/officeDocument/2006/relationships/hyperlink" Target="http://www.rycerska4.pl/konta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